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73" w:rsidRPr="00020987" w:rsidRDefault="00615773" w:rsidP="00615773">
      <w:pPr>
        <w:tabs>
          <w:tab w:val="left" w:pos="1267"/>
        </w:tabs>
        <w:spacing w:after="0" w:line="36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020987">
        <w:rPr>
          <w:rFonts w:ascii="Times New Roman" w:eastAsia="Times New Roman" w:hAnsi="Times New Roman"/>
          <w:b/>
          <w:sz w:val="20"/>
          <w:szCs w:val="20"/>
        </w:rPr>
        <w:t xml:space="preserve">Table 2: </w:t>
      </w:r>
      <w:r w:rsidRPr="00020987">
        <w:rPr>
          <w:rFonts w:ascii="Times New Roman" w:eastAsia="Times New Roman" w:hAnsi="Times New Roman"/>
          <w:sz w:val="20"/>
          <w:szCs w:val="20"/>
        </w:rPr>
        <w:t>Study characteristics.</w:t>
      </w:r>
    </w:p>
    <w:p w:rsidR="00615773" w:rsidRPr="00020987" w:rsidRDefault="00615773" w:rsidP="00615773">
      <w:pPr>
        <w:tabs>
          <w:tab w:val="left" w:pos="1267"/>
        </w:tabs>
        <w:spacing w:after="0" w:line="36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615773" w:rsidRPr="00020987" w:rsidRDefault="00615773" w:rsidP="00615773">
      <w:pPr>
        <w:tabs>
          <w:tab w:val="left" w:pos="1267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0"/>
        <w:gridCol w:w="1170"/>
        <w:gridCol w:w="414"/>
        <w:gridCol w:w="1443"/>
        <w:gridCol w:w="1842"/>
        <w:gridCol w:w="1800"/>
        <w:gridCol w:w="1767"/>
      </w:tblGrid>
      <w:tr w:rsidR="00615773" w:rsidRPr="00020987" w:rsidTr="00564F84">
        <w:tc>
          <w:tcPr>
            <w:tcW w:w="1815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/>
                <w:sz w:val="20"/>
                <w:szCs w:val="20"/>
              </w:rPr>
              <w:t>Author, Date</w:t>
            </w:r>
          </w:p>
        </w:tc>
        <w:tc>
          <w:tcPr>
            <w:tcW w:w="1820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/>
                <w:sz w:val="20"/>
                <w:szCs w:val="20"/>
              </w:rPr>
              <w:t>Study Type</w:t>
            </w:r>
          </w:p>
        </w:tc>
        <w:tc>
          <w:tcPr>
            <w:tcW w:w="1747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/>
                <w:sz w:val="20"/>
                <w:szCs w:val="20"/>
              </w:rPr>
              <w:t>N</w:t>
            </w:r>
            <w:r w:rsidRPr="00020987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47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/>
                <w:sz w:val="20"/>
                <w:szCs w:val="20"/>
              </w:rPr>
              <w:t>Select Population Characteristics</w:t>
            </w:r>
          </w:p>
        </w:tc>
        <w:tc>
          <w:tcPr>
            <w:tcW w:w="1969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/>
                <w:sz w:val="20"/>
                <w:szCs w:val="20"/>
              </w:rPr>
              <w:t>Drug Tested</w:t>
            </w:r>
          </w:p>
        </w:tc>
        <w:tc>
          <w:tcPr>
            <w:tcW w:w="2170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/>
                <w:sz w:val="20"/>
                <w:szCs w:val="20"/>
              </w:rPr>
              <w:t>Study design/Follow up</w:t>
            </w:r>
          </w:p>
        </w:tc>
        <w:tc>
          <w:tcPr>
            <w:tcW w:w="1808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/>
                <w:sz w:val="20"/>
                <w:szCs w:val="20"/>
              </w:rPr>
              <w:t>Variables Included in Review</w:t>
            </w:r>
          </w:p>
        </w:tc>
      </w:tr>
      <w:tr w:rsidR="00615773" w:rsidRPr="00020987" w:rsidTr="00564F84">
        <w:tc>
          <w:tcPr>
            <w:tcW w:w="1815" w:type="dxa"/>
            <w:vAlign w:val="center"/>
          </w:tcPr>
          <w:p w:rsidR="00615773" w:rsidRPr="00020987" w:rsidRDefault="00417425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Crippa et al., 2016</w:t>
            </w:r>
            <w:r w:rsidRPr="00020987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  <w:t xml:space="preserve">  </w:t>
            </w:r>
            <w:r w:rsidR="00615773" w:rsidRPr="00020987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  <w:t>[49]</w:t>
            </w:r>
          </w:p>
        </w:tc>
        <w:tc>
          <w:tcPr>
            <w:tcW w:w="1820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Non-randomized trial</w:t>
            </w:r>
          </w:p>
        </w:tc>
        <w:tc>
          <w:tcPr>
            <w:tcW w:w="1747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41</w:t>
            </w:r>
          </w:p>
        </w:tc>
        <w:tc>
          <w:tcPr>
            <w:tcW w:w="1847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All baseline mean daytime BP &gt; 135/85 mmHg, mean nighttime BP &gt; 120/70 mmHg, already on anti-HTN medications. 32 “non-dippers,” 9 “risers.” 5 symptomatic OSA events per hour or 15 asymptomatic events per hour.</w:t>
            </w:r>
          </w:p>
        </w:tc>
        <w:tc>
          <w:tcPr>
            <w:tcW w:w="1969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Barnidipine</w:t>
            </w:r>
          </w:p>
        </w:tc>
        <w:tc>
          <w:tcPr>
            <w:tcW w:w="2170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10 mg barnidipine at bedtime added to various previously prescribed anti-HTN regimens. 24-hr ABP</w:t>
            </w:r>
            <w:r w:rsidRPr="00020987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vertAlign w:val="superscript"/>
              </w:rPr>
              <w:t>*</w:t>
            </w: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monitoring repeated after 12 weeks of treatment.</w:t>
            </w:r>
          </w:p>
        </w:tc>
        <w:tc>
          <w:tcPr>
            <w:tcW w:w="1808" w:type="dxa"/>
            <w:vAlign w:val="center"/>
          </w:tcPr>
          <w:p w:rsidR="00615773" w:rsidRPr="00020987" w:rsidRDefault="00615773" w:rsidP="00564F84">
            <w:pPr>
              <w:pStyle w:val="ListParagraph"/>
              <w:spacing w:after="0" w:line="36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• Dipping Pattern</w:t>
            </w:r>
          </w:p>
          <w:p w:rsidR="00615773" w:rsidRPr="00020987" w:rsidRDefault="00615773" w:rsidP="00564F84">
            <w:pPr>
              <w:pStyle w:val="ListParagraph"/>
              <w:spacing w:after="0" w:line="36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• Average daytime BP </w:t>
            </w:r>
          </w:p>
          <w:p w:rsidR="00615773" w:rsidRPr="00020987" w:rsidRDefault="00615773" w:rsidP="00564F84">
            <w:pPr>
              <w:pStyle w:val="ListParagraph"/>
              <w:spacing w:after="0" w:line="36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(systolic &amp; diastolic)</w:t>
            </w:r>
          </w:p>
          <w:p w:rsidR="00615773" w:rsidRPr="00020987" w:rsidRDefault="00615773" w:rsidP="00564F84">
            <w:pPr>
              <w:pStyle w:val="ListParagraph"/>
              <w:spacing w:after="0" w:line="36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• Average nighttime BP</w:t>
            </w:r>
          </w:p>
          <w:p w:rsidR="00615773" w:rsidRPr="00020987" w:rsidRDefault="00615773" w:rsidP="00564F84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(systolic &amp; diastolic)</w:t>
            </w:r>
          </w:p>
        </w:tc>
      </w:tr>
      <w:tr w:rsidR="00615773" w:rsidRPr="00020987" w:rsidTr="00564F84">
        <w:tc>
          <w:tcPr>
            <w:tcW w:w="1815" w:type="dxa"/>
            <w:vAlign w:val="center"/>
          </w:tcPr>
          <w:p w:rsidR="00417425" w:rsidRPr="00020987" w:rsidRDefault="00417425" w:rsidP="00417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020987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Kario et al., 2014</w:t>
            </w:r>
          </w:p>
          <w:p w:rsidR="00615773" w:rsidRPr="00020987" w:rsidRDefault="00417425" w:rsidP="00417425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  <w:t xml:space="preserve"> </w:t>
            </w:r>
            <w:r w:rsidR="00615773" w:rsidRPr="00020987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  <w:t>[46]</w:t>
            </w:r>
          </w:p>
        </w:tc>
        <w:tc>
          <w:tcPr>
            <w:tcW w:w="1820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Randomized crossover trial</w:t>
            </w:r>
          </w:p>
        </w:tc>
        <w:tc>
          <w:tcPr>
            <w:tcW w:w="1747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847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3 sleep ABP measurements </w:t>
            </w:r>
            <w:r w:rsidRPr="00020987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  <w:t>≥</w:t>
            </w: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120/70 mmHg. All participants already taking at least 1 anti-HTN medication. Excluded those already treated with </w:t>
            </w: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sympatholytic or bedtime dosing of anti-HTN drug.</w:t>
            </w:r>
          </w:p>
        </w:tc>
        <w:tc>
          <w:tcPr>
            <w:tcW w:w="1969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Nifedipine;</w:t>
            </w:r>
          </w:p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Carvedilol</w:t>
            </w:r>
          </w:p>
        </w:tc>
        <w:tc>
          <w:tcPr>
            <w:tcW w:w="2170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Baseline TSP</w:t>
            </w:r>
            <w:r w:rsidRPr="00020987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vertAlign w:val="superscript"/>
              </w:rPr>
              <w:t>*</w:t>
            </w: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&amp; polysomnography performed 2-8 weeks before a single dose of nifedipine ER 40 mg or carvedilol 20 mg given after dinner. Measurements repeated on night of treatment. Then </w:t>
            </w: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2 weeks washout period and process repeated with other drug.</w:t>
            </w:r>
          </w:p>
        </w:tc>
        <w:tc>
          <w:tcPr>
            <w:tcW w:w="1808" w:type="dxa"/>
            <w:vAlign w:val="center"/>
          </w:tcPr>
          <w:p w:rsidR="00615773" w:rsidRPr="00020987" w:rsidRDefault="00615773" w:rsidP="00564F84">
            <w:pPr>
              <w:pStyle w:val="ListParagraph"/>
              <w:spacing w:after="0" w:line="36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• Average daytime BP</w:t>
            </w:r>
          </w:p>
          <w:p w:rsidR="00615773" w:rsidRPr="00020987" w:rsidRDefault="00615773" w:rsidP="00564F84">
            <w:pPr>
              <w:pStyle w:val="ListParagraph"/>
              <w:spacing w:after="0" w:line="36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(systolic &amp; diastolic)</w:t>
            </w:r>
          </w:p>
          <w:p w:rsidR="00615773" w:rsidRPr="00020987" w:rsidRDefault="00615773" w:rsidP="00564F84">
            <w:pPr>
              <w:pStyle w:val="ListParagraph"/>
              <w:spacing w:after="0" w:line="36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• Average nighttime BP:</w:t>
            </w:r>
          </w:p>
          <w:p w:rsidR="00615773" w:rsidRPr="00020987" w:rsidRDefault="00615773" w:rsidP="00564F84">
            <w:pPr>
              <w:pStyle w:val="ListParagraph"/>
              <w:spacing w:after="0" w:line="36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(systolic &amp; diastolic)</w:t>
            </w:r>
          </w:p>
          <w:p w:rsidR="00615773" w:rsidRPr="00020987" w:rsidRDefault="00615773" w:rsidP="00564F84">
            <w:pPr>
              <w:pStyle w:val="ListParagraph"/>
              <w:spacing w:after="0" w:line="36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o Fixed interval</w:t>
            </w:r>
          </w:p>
          <w:p w:rsidR="00615773" w:rsidRPr="00020987" w:rsidRDefault="00615773" w:rsidP="00564F84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o Oxygen-triggered</w:t>
            </w:r>
          </w:p>
        </w:tc>
      </w:tr>
      <w:tr w:rsidR="00615773" w:rsidRPr="00020987" w:rsidTr="00564F84">
        <w:tc>
          <w:tcPr>
            <w:tcW w:w="1815" w:type="dxa"/>
            <w:vAlign w:val="center"/>
          </w:tcPr>
          <w:p w:rsidR="00417425" w:rsidRPr="00020987" w:rsidRDefault="00417425" w:rsidP="00417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020987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lastRenderedPageBreak/>
              <w:t xml:space="preserve">Kasiakogias et al., 2015 </w:t>
            </w:r>
          </w:p>
          <w:p w:rsidR="00615773" w:rsidRPr="00020987" w:rsidRDefault="00417425" w:rsidP="00417425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  <w:t xml:space="preserve"> </w:t>
            </w:r>
            <w:r w:rsidR="00615773" w:rsidRPr="00020987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  <w:t>[50]</w:t>
            </w:r>
          </w:p>
        </w:tc>
        <w:tc>
          <w:tcPr>
            <w:tcW w:w="1820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Non-randomized crossover trial</w:t>
            </w:r>
          </w:p>
        </w:tc>
        <w:tc>
          <w:tcPr>
            <w:tcW w:w="1747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41</w:t>
            </w:r>
          </w:p>
        </w:tc>
        <w:tc>
          <w:tcPr>
            <w:tcW w:w="1847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Adults with stage I-II HTN and AHI</w:t>
            </w:r>
            <w:r w:rsidRPr="00020987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vertAlign w:val="superscript"/>
              </w:rPr>
              <w:t>*</w:t>
            </w: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020987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  <w:t>≥</w:t>
            </w: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15. Those already on anti-HTN medications excluded. </w:t>
            </w:r>
          </w:p>
        </w:tc>
        <w:tc>
          <w:tcPr>
            <w:tcW w:w="1969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Valsartan for those with stage I HTN; </w:t>
            </w:r>
          </w:p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Valsartan/amlodipine for those with stage II HTN</w:t>
            </w:r>
          </w:p>
        </w:tc>
        <w:tc>
          <w:tcPr>
            <w:tcW w:w="2170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160 mg valsartan for stage I; 5/160 mg, 10/160 mg, or 10/320 mg amlodipine/valsartan for stage II.</w:t>
            </w:r>
          </w:p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8 weeks with a.m. treatment, then 8 weeks with p.m. treatment.</w:t>
            </w:r>
          </w:p>
        </w:tc>
        <w:tc>
          <w:tcPr>
            <w:tcW w:w="1808" w:type="dxa"/>
            <w:vAlign w:val="center"/>
          </w:tcPr>
          <w:p w:rsidR="00615773" w:rsidRPr="00020987" w:rsidRDefault="00615773" w:rsidP="00564F84">
            <w:pPr>
              <w:pStyle w:val="ListParagraph"/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• Average daytime BP(systolic &amp; diastolic)</w:t>
            </w:r>
          </w:p>
          <w:p w:rsidR="00615773" w:rsidRPr="00020987" w:rsidRDefault="00615773" w:rsidP="00564F84">
            <w:pPr>
              <w:pStyle w:val="ListParagraph"/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• Average nighttime BP</w:t>
            </w:r>
          </w:p>
          <w:p w:rsidR="00615773" w:rsidRPr="00020987" w:rsidRDefault="00615773" w:rsidP="00564F84">
            <w:pPr>
              <w:pStyle w:val="ListParagraph"/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(systolic &amp; diastolic)</w:t>
            </w:r>
          </w:p>
          <w:p w:rsidR="00615773" w:rsidRPr="00020987" w:rsidRDefault="00615773" w:rsidP="00564F84">
            <w:pPr>
              <w:pStyle w:val="ListParagraph"/>
              <w:spacing w:after="0" w:line="36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Dipping pattern</w:t>
            </w:r>
          </w:p>
        </w:tc>
      </w:tr>
      <w:tr w:rsidR="00615773" w:rsidRPr="00020987" w:rsidTr="00564F84">
        <w:tc>
          <w:tcPr>
            <w:tcW w:w="1815" w:type="dxa"/>
            <w:vAlign w:val="center"/>
          </w:tcPr>
          <w:p w:rsidR="00417425" w:rsidRPr="00020987" w:rsidRDefault="00417425" w:rsidP="00417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020987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Serinel et al., 2017</w:t>
            </w:r>
          </w:p>
          <w:p w:rsidR="00615773" w:rsidRPr="00020987" w:rsidRDefault="00417425" w:rsidP="00417425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  <w:t xml:space="preserve">  </w:t>
            </w:r>
            <w:r w:rsidR="00615773" w:rsidRPr="00020987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  <w:t>[47]</w:t>
            </w:r>
          </w:p>
        </w:tc>
        <w:tc>
          <w:tcPr>
            <w:tcW w:w="1820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Double-blind randomized placebo-controlled crossover trial</w:t>
            </w:r>
          </w:p>
        </w:tc>
        <w:tc>
          <w:tcPr>
            <w:tcW w:w="1747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78</w:t>
            </w:r>
          </w:p>
        </w:tc>
        <w:tc>
          <w:tcPr>
            <w:tcW w:w="1847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Awake BP </w:t>
            </w:r>
            <w:r w:rsidRPr="00020987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  <w:t>≥</w:t>
            </w: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135/85 mmHg, asleep BP </w:t>
            </w:r>
            <w:r w:rsidRPr="00020987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  <w:t>≥</w:t>
            </w: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120/70 mmHg, AHI </w:t>
            </w:r>
            <w:r w:rsidRPr="00020987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  <w:t>≥</w:t>
            </w: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15. Taking &lt; 33 anti-HTN medications. Excluded those with sever HTN &gt; 180/110 mmHg and severe OSA.</w:t>
            </w:r>
          </w:p>
        </w:tc>
        <w:tc>
          <w:tcPr>
            <w:tcW w:w="1969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Perindopril</w:t>
            </w:r>
          </w:p>
        </w:tc>
        <w:tc>
          <w:tcPr>
            <w:tcW w:w="2170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Participants treated with either 10 mg perindopril 10 mg in a.m. with placebo at given in p.m. or 10 mg perindopril in p.m. and placebo in a.m. for 6 weeks. Then regimens switched and treated for 6 weeks. CPAP also added in last 8 weeks.</w:t>
            </w:r>
          </w:p>
        </w:tc>
        <w:tc>
          <w:tcPr>
            <w:tcW w:w="1808" w:type="dxa"/>
            <w:vAlign w:val="center"/>
          </w:tcPr>
          <w:p w:rsidR="00615773" w:rsidRPr="00020987" w:rsidRDefault="00615773" w:rsidP="00564F84">
            <w:pPr>
              <w:pStyle w:val="ListParagraph"/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• Dipping Pattern</w:t>
            </w:r>
          </w:p>
          <w:p w:rsidR="00615773" w:rsidRPr="00020987" w:rsidRDefault="00615773" w:rsidP="00564F84">
            <w:pPr>
              <w:pStyle w:val="ListParagraph"/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• Average daytime BP</w:t>
            </w:r>
          </w:p>
          <w:p w:rsidR="00615773" w:rsidRPr="00020987" w:rsidRDefault="00615773" w:rsidP="00564F84">
            <w:pPr>
              <w:pStyle w:val="ListParagraph"/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(systolic &amp; diastolic)</w:t>
            </w:r>
          </w:p>
          <w:p w:rsidR="00615773" w:rsidRPr="00020987" w:rsidRDefault="00615773" w:rsidP="00564F84">
            <w:pPr>
              <w:pStyle w:val="ListParagraph"/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• Average nighttime BP:</w:t>
            </w:r>
          </w:p>
          <w:p w:rsidR="00615773" w:rsidRPr="00020987" w:rsidRDefault="00615773" w:rsidP="00564F84">
            <w:pPr>
              <w:pStyle w:val="ListParagraph"/>
              <w:spacing w:after="0" w:line="360" w:lineRule="auto"/>
              <w:ind w:left="0"/>
              <w:contextualSpacing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(systolic &amp; diastolic)</w:t>
            </w:r>
          </w:p>
        </w:tc>
      </w:tr>
      <w:tr w:rsidR="00615773" w:rsidRPr="00020987" w:rsidTr="00564F84">
        <w:tc>
          <w:tcPr>
            <w:tcW w:w="1815" w:type="dxa"/>
            <w:vAlign w:val="center"/>
          </w:tcPr>
          <w:p w:rsidR="00417425" w:rsidRPr="00020987" w:rsidRDefault="00417425" w:rsidP="00417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020987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Yoshida et al., 2017</w:t>
            </w:r>
          </w:p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020987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  <w:t>[51]</w:t>
            </w:r>
          </w:p>
        </w:tc>
        <w:tc>
          <w:tcPr>
            <w:tcW w:w="1820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Case Study</w:t>
            </w:r>
          </w:p>
        </w:tc>
        <w:tc>
          <w:tcPr>
            <w:tcW w:w="1747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7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Young adult male with severe OSA and prominent BP surge during sleep measured by </w:t>
            </w: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TSP. History of 3 sleep-onset strokes. Non-compliant with CPAP.</w:t>
            </w:r>
          </w:p>
        </w:tc>
        <w:tc>
          <w:tcPr>
            <w:tcW w:w="1969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 xml:space="preserve">Doxazosin </w:t>
            </w:r>
          </w:p>
        </w:tc>
        <w:tc>
          <w:tcPr>
            <w:tcW w:w="2170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Doxazosin 4 mg given at bedtime. Patient stroke free 2 years after intervention.</w:t>
            </w:r>
          </w:p>
        </w:tc>
        <w:tc>
          <w:tcPr>
            <w:tcW w:w="1808" w:type="dxa"/>
            <w:vAlign w:val="center"/>
          </w:tcPr>
          <w:p w:rsidR="00615773" w:rsidRPr="00020987" w:rsidRDefault="00615773" w:rsidP="0061577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Hypoxia-triggered nocturnal BP surge</w:t>
            </w:r>
          </w:p>
          <w:p w:rsidR="00615773" w:rsidRPr="00020987" w:rsidRDefault="00615773" w:rsidP="00615773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Early morning BP</w:t>
            </w:r>
          </w:p>
        </w:tc>
      </w:tr>
      <w:tr w:rsidR="00615773" w:rsidRPr="00020987" w:rsidTr="00564F84">
        <w:tc>
          <w:tcPr>
            <w:tcW w:w="1815" w:type="dxa"/>
            <w:vAlign w:val="center"/>
          </w:tcPr>
          <w:p w:rsidR="00417425" w:rsidRPr="00020987" w:rsidRDefault="00417425" w:rsidP="00417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20987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lastRenderedPageBreak/>
              <w:t>Ziegler et al., 2017</w:t>
            </w:r>
          </w:p>
          <w:p w:rsidR="00615773" w:rsidRPr="00020987" w:rsidRDefault="00417425" w:rsidP="00417425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  <w:t xml:space="preserve"> </w:t>
            </w:r>
            <w:r w:rsidR="00615773" w:rsidRPr="00020987"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</w:rPr>
              <w:t>[48]</w:t>
            </w:r>
          </w:p>
        </w:tc>
        <w:tc>
          <w:tcPr>
            <w:tcW w:w="1820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Blinded crossover</w:t>
            </w:r>
          </w:p>
        </w:tc>
        <w:tc>
          <w:tcPr>
            <w:tcW w:w="1747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31</w:t>
            </w:r>
          </w:p>
        </w:tc>
        <w:tc>
          <w:tcPr>
            <w:tcW w:w="1847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3 office BP measurements &gt; 140/90 mmHg, AHI &gt; 10. Excluded those with BP &gt; 180/105 mmHg, those taking certain medications affecting cardiovascular metrics or sleep. </w:t>
            </w:r>
          </w:p>
        </w:tc>
        <w:tc>
          <w:tcPr>
            <w:tcW w:w="1969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Nebivolol</w:t>
            </w:r>
          </w:p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HCTZ</w:t>
            </w:r>
          </w:p>
        </w:tc>
        <w:tc>
          <w:tcPr>
            <w:tcW w:w="2170" w:type="dxa"/>
            <w:vAlign w:val="center"/>
          </w:tcPr>
          <w:p w:rsidR="00615773" w:rsidRPr="00020987" w:rsidRDefault="00615773" w:rsidP="00564F84">
            <w:pPr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Single-blinded placebo taken for 2 weeks followed by either double-blinded nebivolol (5 mg/day for 2 weeks, then 10 mg/day for 4 weeks) or HCTZ (12.5 mg/day for 2 weeks, then 25 mg/day for 4 weeks). Then medications crossed over and treated with other medication for additional 6 weeks.</w:t>
            </w:r>
          </w:p>
        </w:tc>
        <w:tc>
          <w:tcPr>
            <w:tcW w:w="1808" w:type="dxa"/>
            <w:vAlign w:val="center"/>
          </w:tcPr>
          <w:p w:rsidR="00615773" w:rsidRPr="00020987" w:rsidRDefault="00615773" w:rsidP="00564F84">
            <w:pPr>
              <w:pStyle w:val="ListParagraph"/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• Dipping Pattern</w:t>
            </w:r>
          </w:p>
          <w:p w:rsidR="00615773" w:rsidRPr="00020987" w:rsidRDefault="00615773" w:rsidP="00564F84">
            <w:pPr>
              <w:pStyle w:val="ListParagraph"/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• Average daytime BP</w:t>
            </w:r>
          </w:p>
          <w:p w:rsidR="00615773" w:rsidRPr="00020987" w:rsidRDefault="00615773" w:rsidP="00564F84">
            <w:pPr>
              <w:pStyle w:val="ListParagraph"/>
              <w:spacing w:after="0" w:line="36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(systolic &amp; diastolic)</w:t>
            </w:r>
          </w:p>
          <w:p w:rsidR="00615773" w:rsidRPr="00020987" w:rsidRDefault="00615773" w:rsidP="00564F84">
            <w:pPr>
              <w:pStyle w:val="ListParagraph"/>
              <w:spacing w:after="0" w:line="360" w:lineRule="auto"/>
              <w:ind w:left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20987">
              <w:rPr>
                <w:rFonts w:ascii="Times New Roman" w:eastAsia="Times New Roman" w:hAnsi="Times New Roman"/>
                <w:bCs/>
                <w:sz w:val="20"/>
                <w:szCs w:val="20"/>
              </w:rPr>
              <w:t>• Average nighttime BP:</w:t>
            </w:r>
          </w:p>
        </w:tc>
      </w:tr>
    </w:tbl>
    <w:p w:rsidR="00615773" w:rsidRPr="00020987" w:rsidRDefault="00615773" w:rsidP="00615773">
      <w:pPr>
        <w:tabs>
          <w:tab w:val="left" w:pos="1267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346505" w:rsidRPr="00020987" w:rsidRDefault="00346505" w:rsidP="0034650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0"/>
          <w:szCs w:val="20"/>
        </w:rPr>
      </w:pPr>
      <w:r w:rsidRPr="00020987">
        <w:rPr>
          <w:rFonts w:ascii="Times New Roman" w:eastAsiaTheme="minorHAnsi" w:hAnsi="Times New Roman"/>
          <w:color w:val="000000"/>
          <w:sz w:val="20"/>
          <w:szCs w:val="20"/>
        </w:rPr>
        <w:t xml:space="preserve">*N: Number of Participants; ABP: Ambulatory Blood Pressure; TSP: Trigger Systolic Pressure; ER: Extended Release; AHI: Apnea-Hypopnea Index; CPAP: Continuous Positive Airway Pressure; HCTZ: Hydrochlorothiazide. </w:t>
      </w:r>
    </w:p>
    <w:p w:rsidR="0071285E" w:rsidRPr="00020987" w:rsidRDefault="00020987">
      <w:pPr>
        <w:rPr>
          <w:rFonts w:ascii="Times New Roman" w:hAnsi="Times New Roman"/>
          <w:sz w:val="20"/>
          <w:szCs w:val="20"/>
        </w:rPr>
      </w:pPr>
    </w:p>
    <w:sectPr w:rsidR="0071285E" w:rsidRPr="00020987" w:rsidSect="000274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E6DD1"/>
    <w:multiLevelType w:val="hybridMultilevel"/>
    <w:tmpl w:val="93689E14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615773"/>
    <w:rsid w:val="00020987"/>
    <w:rsid w:val="0002740A"/>
    <w:rsid w:val="00346505"/>
    <w:rsid w:val="00417425"/>
    <w:rsid w:val="00544804"/>
    <w:rsid w:val="00615773"/>
    <w:rsid w:val="00731CA1"/>
    <w:rsid w:val="00912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77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773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537</Words>
  <Characters>3061</Characters>
  <Application>Microsoft Office Word</Application>
  <DocSecurity>0</DocSecurity>
  <Lines>25</Lines>
  <Paragraphs>7</Paragraphs>
  <ScaleCrop>false</ScaleCrop>
  <Company>Microsoft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 WEB</dc:creator>
  <cp:lastModifiedBy>Swathi</cp:lastModifiedBy>
  <cp:revision>5</cp:revision>
  <dcterms:created xsi:type="dcterms:W3CDTF">2019-08-02T03:57:00Z</dcterms:created>
  <dcterms:modified xsi:type="dcterms:W3CDTF">2019-08-16T07:23:00Z</dcterms:modified>
</cp:coreProperties>
</file>