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95" w:rsidRPr="005444FE" w:rsidRDefault="00BB4195" w:rsidP="00BB4195">
      <w:pPr>
        <w:spacing w:after="0" w:line="360" w:lineRule="auto"/>
        <w:jc w:val="both"/>
        <w:rPr>
          <w:rFonts w:ascii="Times New Roman" w:eastAsia="Cambria" w:hAnsi="Times New Roman"/>
          <w:bCs/>
          <w:sz w:val="20"/>
          <w:szCs w:val="20"/>
        </w:rPr>
      </w:pPr>
      <w:r w:rsidRPr="005444FE">
        <w:rPr>
          <w:rFonts w:ascii="Times New Roman" w:eastAsia="Cambria" w:hAnsi="Times New Roman"/>
          <w:b/>
          <w:bCs/>
          <w:sz w:val="20"/>
          <w:szCs w:val="20"/>
        </w:rPr>
        <w:t>Supplement Table 1</w:t>
      </w:r>
      <w:r w:rsidRPr="005444FE">
        <w:rPr>
          <w:rFonts w:ascii="Times New Roman" w:eastAsia="Cambria" w:hAnsi="Times New Roman"/>
          <w:bCs/>
          <w:sz w:val="20"/>
          <w:szCs w:val="20"/>
        </w:rPr>
        <w:t>: Electronic search strategies.</w:t>
      </w:r>
    </w:p>
    <w:tbl>
      <w:tblPr>
        <w:tblW w:w="9374" w:type="dxa"/>
        <w:tblInd w:w="101" w:type="dxa"/>
        <w:tblLook w:val="04A0"/>
      </w:tblPr>
      <w:tblGrid>
        <w:gridCol w:w="2103"/>
        <w:gridCol w:w="7271"/>
      </w:tblGrid>
      <w:tr w:rsidR="00BB4195" w:rsidRPr="001009AC" w:rsidTr="001F6BDF">
        <w:trPr>
          <w:trHeight w:val="30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Database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b/>
                <w:noProof w:val="0"/>
                <w:color w:val="000000"/>
                <w:sz w:val="20"/>
                <w:szCs w:val="20"/>
              </w:rPr>
              <w:t>Search strategy</w:t>
            </w:r>
          </w:p>
        </w:tc>
      </w:tr>
      <w:tr w:rsidR="00BB4195" w:rsidRPr="001009AC" w:rsidTr="001F6BDF">
        <w:trPr>
          <w:trHeight w:val="30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MEDLINE via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PubMed</w:t>
            </w:r>
            <w:proofErr w:type="spellEnd"/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(searched on 2/8/2018 and 2/10/2019) limited to English language and Humans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(H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erbal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dietary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nutraceutical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or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multivitamin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perilla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oil or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longovital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camel thorn or zinc sulphate or beta-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glucan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bee-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propolis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“drugs,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chinese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herbal”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[Mesh]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“plant extracts”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[Mesh]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“dietary supplements” [Mesh] or honey or “complementary therapies”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[Mesh]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aloe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vera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myrrh or “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sapogenins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/therapeutic use”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[MAJR]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or medicinal plants or “plants, medicinal”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[Mesh])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and (recurrent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aphthous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stomatitis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recurrent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aphthous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ulcer</w:t>
            </w:r>
            <w:r w:rsidRPr="005444FE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“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stomatitis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aphthous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” [Mesh])</w:t>
            </w:r>
          </w:p>
        </w:tc>
      </w:tr>
      <w:tr w:rsidR="00BB4195" w:rsidRPr="001009AC" w:rsidTr="001F6BDF">
        <w:trPr>
          <w:trHeight w:val="30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The Web of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Science</w:t>
            </w:r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(searched on 2/8/2018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and 2/10/2019)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Topic: (H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erbal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dietary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nutraceutical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or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multivitamin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or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p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erilla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oil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longovital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camel thorn or zinc sulphate or beta-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glucan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bee-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propolis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plant extract</w:t>
            </w:r>
            <w:r w:rsidRPr="005444FE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chinese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herbal or honey or complementary therapies or aloe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vera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or myrrh or medicinal plant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)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and topic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: (recurrent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aphthous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stomatitis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recurrent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aphthous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 xml:space="preserve"> ulcer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  <w:lang w:val="en-AU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)</w:t>
            </w:r>
          </w:p>
        </w:tc>
      </w:tr>
      <w:tr w:rsidR="00BB4195" w:rsidRPr="005444FE" w:rsidTr="001F6BDF">
        <w:trPr>
          <w:trHeight w:val="1421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The Cochrane Library</w:t>
            </w:r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(searched on 2/8/2018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and 2/10/2019)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1.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(H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erbal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dietary supplement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nutraceutical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multivitamin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erilla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oil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l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ongovital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camel thorn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zinc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sulphate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beta-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glucan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or bee-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propolis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or plant extract</w:t>
            </w:r>
            <w:r w:rsidRPr="005444FE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or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chinese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herbal or honey or complementary therapies or aloe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vera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or myrrh or medicinal plant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) </w:t>
            </w:r>
          </w:p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2. (R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ecurrent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aphthous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stomatitis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recurrent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aphthous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ulcer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  <w:vertAlign w:val="superscript"/>
              </w:rPr>
              <w:t>*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)</w:t>
            </w:r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3. 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1 and 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2</w:t>
            </w:r>
          </w:p>
        </w:tc>
      </w:tr>
      <w:tr w:rsidR="00BB4195" w:rsidRPr="005444FE" w:rsidTr="001F6BDF">
        <w:trPr>
          <w:trHeight w:val="247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bookmarkStart w:id="0" w:name="RANGE!K21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EMBASE</w:t>
            </w:r>
          </w:p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(searched on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2/8/2018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and 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2/10/2019)</w:t>
            </w:r>
          </w:p>
          <w:bookmarkEnd w:id="0"/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 </w:t>
            </w:r>
          </w:p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 </w:t>
            </w:r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1. ‘Herbaceous agent’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nutraceutical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‘dietary supplement’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chinese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drug’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‘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chinese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herb’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‘vitamin’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‘plant extract’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‘alternative medicine’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‘medicinal plant’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perilla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and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oil)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logovital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(camel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and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th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orn)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(zinc and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sulphate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) or ‘beta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glucan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’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‘bee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propolis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honey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(aloe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and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vera</w:t>
            </w:r>
            <w:proofErr w:type="spellEnd"/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)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myrrh</w:t>
            </w:r>
          </w:p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2. ‘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aphthous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stomatitis</w:t>
            </w:r>
            <w:proofErr w:type="spellEnd"/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’</w:t>
            </w:r>
          </w:p>
          <w:p w:rsidR="00BB4195" w:rsidRPr="005444FE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3. 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1 and 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2 </w:t>
            </w:r>
          </w:p>
          <w:p w:rsidR="00BB4195" w:rsidRPr="001009AC" w:rsidRDefault="00BB4195" w:rsidP="001F6B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</w:pP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4.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</w:t>
            </w:r>
            <w:r w:rsidRPr="001009AC">
              <w:rPr>
                <w:rFonts w:ascii="Times New Roman" w:eastAsia="Times New Roman" w:hAnsi="Times New Roman"/>
                <w:noProof w:val="0"/>
                <w:color w:val="FF0000"/>
                <w:sz w:val="20"/>
                <w:szCs w:val="20"/>
              </w:rPr>
              <w:t>#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3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and (‘clinical trial’/de or ‘controlled clinical trial’/de or ‘double blind procedure’/de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‘evidence based medicine’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/de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or ‘major clinical study’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/de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or ‘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randomized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controlled trial’/de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rand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omized controlled trial (topic)’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/de 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  <w:lang w:val="en-AU"/>
              </w:rPr>
              <w:t>or</w:t>
            </w:r>
            <w:r w:rsidRPr="005444FE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 xml:space="preserve"> ‘systematic review’</w:t>
            </w:r>
            <w:r w:rsidRPr="001009AC">
              <w:rPr>
                <w:rFonts w:ascii="Times New Roman" w:eastAsia="Times New Roman" w:hAnsi="Times New Roman"/>
                <w:noProof w:val="0"/>
                <w:color w:val="000000"/>
                <w:sz w:val="20"/>
                <w:szCs w:val="20"/>
              </w:rPr>
              <w:t>/de)</w:t>
            </w:r>
          </w:p>
        </w:tc>
      </w:tr>
    </w:tbl>
    <w:p w:rsidR="00240DAF" w:rsidRDefault="00240DAF"/>
    <w:sectPr w:rsidR="00240DAF" w:rsidSect="00240D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4195"/>
    <w:rsid w:val="00240DAF"/>
    <w:rsid w:val="00BB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95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>HP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2019-12-04T07:12:00Z</dcterms:created>
  <dcterms:modified xsi:type="dcterms:W3CDTF">2019-12-04T07:13:00Z</dcterms:modified>
</cp:coreProperties>
</file>