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F3" w:rsidRPr="007E743A" w:rsidRDefault="003539F3" w:rsidP="003539F3">
      <w:pPr>
        <w:spacing w:after="0" w:line="240" w:lineRule="auto"/>
        <w:rPr>
          <w:rFonts w:ascii="Times New Roman" w:hAnsi="Times New Roman"/>
          <w:bCs/>
          <w:color w:val="000000" w:themeColor="text1"/>
          <w:sz w:val="20"/>
          <w:szCs w:val="20"/>
          <w:lang w:eastAsia="pt-BR"/>
        </w:rPr>
      </w:pPr>
      <w:r w:rsidRPr="007E743A">
        <w:rPr>
          <w:rFonts w:ascii="Times New Roman" w:hAnsi="Times New Roman"/>
          <w:b/>
          <w:color w:val="000000" w:themeColor="text1"/>
          <w:sz w:val="20"/>
          <w:szCs w:val="20"/>
          <w:lang w:eastAsia="pt-BR"/>
        </w:rPr>
        <w:t>Table 4:</w:t>
      </w:r>
      <w:r w:rsidRPr="007E743A">
        <w:rPr>
          <w:rFonts w:ascii="Times New Roman" w:hAnsi="Times New Roman"/>
          <w:color w:val="000000" w:themeColor="text1"/>
          <w:sz w:val="20"/>
          <w:szCs w:val="20"/>
          <w:lang w:eastAsia="pt-BR"/>
        </w:rPr>
        <w:t xml:space="preserve"> Bibliographical survey on the influence of contact with food coloring during bleaching.</w:t>
      </w:r>
    </w:p>
    <w:p w:rsidR="00856CAE" w:rsidRPr="007E743A" w:rsidRDefault="00856CAE">
      <w:pPr>
        <w:rPr>
          <w:color w:val="000000" w:themeColor="text1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7E743A" w:rsidRPr="007E743A" w:rsidTr="001E1FB4">
        <w:trPr>
          <w:trHeight w:val="634"/>
        </w:trPr>
        <w:tc>
          <w:tcPr>
            <w:tcW w:w="2400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Authors and publication year</w:t>
            </w:r>
          </w:p>
        </w:tc>
        <w:tc>
          <w:tcPr>
            <w:tcW w:w="2400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Dental bleaching</w:t>
            </w:r>
          </w:p>
        </w:tc>
        <w:tc>
          <w:tcPr>
            <w:tcW w:w="2400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Type of coloring</w:t>
            </w:r>
          </w:p>
        </w:tc>
        <w:tc>
          <w:tcPr>
            <w:tcW w:w="2400" w:type="dxa"/>
            <w:shd w:val="clear" w:color="auto" w:fill="A6A6A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Conclusion</w:t>
            </w:r>
          </w:p>
        </w:tc>
      </w:tr>
      <w:tr w:rsidR="007E743A" w:rsidRPr="007E743A" w:rsidTr="001E1FB4">
        <w:trPr>
          <w:trHeight w:val="584"/>
        </w:trPr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Decker [</w:t>
            </w:r>
            <w:hyperlink r:id="rId4" w:history="1">
              <w:r w:rsidRPr="007E743A">
                <w:rPr>
                  <w:rStyle w:val="Hyperlink"/>
                  <w:rFonts w:ascii="Times New Roman" w:hAnsi="Times New Roman"/>
                  <w:b/>
                  <w:color w:val="000000" w:themeColor="text1"/>
                  <w:sz w:val="20"/>
                  <w:szCs w:val="20"/>
                  <w:lang w:eastAsia="pt-BR"/>
                </w:rPr>
                <w:t>12</w:t>
              </w:r>
            </w:hyperlink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]</w:t>
            </w:r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br/>
            </w:r>
          </w:p>
        </w:tc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Not mentioned by the author.</w:t>
            </w:r>
          </w:p>
        </w:tc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Tea, coffee, </w:t>
            </w:r>
            <w:proofErr w:type="spellStart"/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açai</w:t>
            </w:r>
            <w:proofErr w:type="spellEnd"/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 extract, grape juice, red wine, coke and melted chocolate.</w:t>
            </w:r>
          </w:p>
        </w:tc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Recommendation to avoid food coloring in office whitening but not necessary in home whitening.</w:t>
            </w:r>
          </w:p>
        </w:tc>
      </w:tr>
      <w:tr w:rsidR="007E743A" w:rsidRPr="007E743A" w:rsidTr="001E1FB4">
        <w:trPr>
          <w:trHeight w:val="584"/>
        </w:trPr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Cavalcante</w:t>
            </w:r>
            <w:proofErr w:type="spellEnd"/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 xml:space="preserve"> [</w:t>
            </w:r>
            <w:hyperlink r:id="rId5" w:history="1">
              <w:r w:rsidRPr="007E743A">
                <w:rPr>
                  <w:rStyle w:val="Hyperlink"/>
                  <w:rFonts w:ascii="Times New Roman" w:hAnsi="Times New Roman"/>
                  <w:b/>
                  <w:color w:val="000000" w:themeColor="text1"/>
                  <w:sz w:val="20"/>
                  <w:szCs w:val="20"/>
                  <w:lang w:eastAsia="pt-BR"/>
                </w:rPr>
                <w:t>5</w:t>
              </w:r>
            </w:hyperlink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]</w:t>
            </w:r>
          </w:p>
        </w:tc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35% of Hydrogen peroxide.</w:t>
            </w:r>
          </w:p>
        </w:tc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Coffee</w:t>
            </w:r>
          </w:p>
        </w:tc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There was interference in the efficacy of the bleaching being dose-dependent.</w:t>
            </w:r>
          </w:p>
        </w:tc>
      </w:tr>
      <w:tr w:rsidR="007E743A" w:rsidRPr="007E743A" w:rsidTr="001E1FB4">
        <w:trPr>
          <w:trHeight w:val="584"/>
        </w:trPr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7E743A" w:rsidP="001E1FB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Rezende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,</w:t>
            </w:r>
            <w:bookmarkStart w:id="0" w:name="_GoBack"/>
            <w:bookmarkEnd w:id="0"/>
            <w:r w:rsidR="003539F3"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 xml:space="preserve"> et al. [3]</w:t>
            </w:r>
            <w:r w:rsidR="003539F3"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br/>
            </w:r>
          </w:p>
        </w:tc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16% of </w:t>
            </w:r>
            <w:proofErr w:type="spellStart"/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carbamide</w:t>
            </w:r>
            <w:proofErr w:type="spellEnd"/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 peroxide.</w:t>
            </w:r>
          </w:p>
        </w:tc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Coffee, coffee with sugar, black tea, black tea with sugar, grape juice and grape juice with sugar.</w:t>
            </w:r>
          </w:p>
        </w:tc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Bleaching was effective even with the ingestion of food coloring.</w:t>
            </w:r>
          </w:p>
        </w:tc>
      </w:tr>
      <w:tr w:rsidR="007E743A" w:rsidRPr="007E743A" w:rsidTr="001E1FB4">
        <w:trPr>
          <w:trHeight w:val="584"/>
        </w:trPr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Rezende</w:t>
            </w:r>
            <w:proofErr w:type="spellEnd"/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Loguercio</w:t>
            </w:r>
            <w:proofErr w:type="spellEnd"/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, Reis [</w:t>
            </w:r>
            <w:hyperlink r:id="rId6" w:history="1">
              <w:r w:rsidRPr="007E743A">
                <w:rPr>
                  <w:rStyle w:val="Hyperlink"/>
                  <w:rFonts w:ascii="Times New Roman" w:hAnsi="Times New Roman"/>
                  <w:b/>
                  <w:color w:val="000000" w:themeColor="text1"/>
                  <w:sz w:val="20"/>
                  <w:szCs w:val="20"/>
                  <w:lang w:eastAsia="pt-BR"/>
                </w:rPr>
                <w:t>9</w:t>
              </w:r>
            </w:hyperlink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]</w:t>
            </w:r>
          </w:p>
        </w:tc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16% of </w:t>
            </w:r>
            <w:proofErr w:type="spellStart"/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carbamide</w:t>
            </w:r>
            <w:proofErr w:type="spellEnd"/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 peroxide.</w:t>
            </w:r>
          </w:p>
        </w:tc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Coffee</w:t>
            </w:r>
          </w:p>
        </w:tc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There was no influence on whitening or sensitivity.</w:t>
            </w:r>
          </w:p>
        </w:tc>
      </w:tr>
      <w:tr w:rsidR="007E743A" w:rsidRPr="007E743A" w:rsidTr="001E1FB4">
        <w:trPr>
          <w:trHeight w:val="584"/>
        </w:trPr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Siqueira</w:t>
            </w:r>
            <w:proofErr w:type="spellEnd"/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 xml:space="preserve"> [</w:t>
            </w:r>
            <w:hyperlink r:id="rId7" w:history="1">
              <w:r w:rsidRPr="007E743A">
                <w:rPr>
                  <w:rStyle w:val="Hyperlink"/>
                  <w:rFonts w:ascii="Times New Roman" w:hAnsi="Times New Roman"/>
                  <w:b/>
                  <w:color w:val="000000" w:themeColor="text1"/>
                  <w:sz w:val="20"/>
                  <w:szCs w:val="20"/>
                  <w:lang w:eastAsia="pt-BR"/>
                </w:rPr>
                <w:t>10</w:t>
              </w:r>
            </w:hyperlink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]</w:t>
            </w:r>
          </w:p>
        </w:tc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16% of </w:t>
            </w:r>
            <w:proofErr w:type="spellStart"/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carbamide</w:t>
            </w:r>
            <w:proofErr w:type="spellEnd"/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 peroxide.</w:t>
            </w:r>
          </w:p>
        </w:tc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Coffee</w:t>
            </w:r>
          </w:p>
        </w:tc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There is no influence in effectiveness, longevity and sensitivity.</w:t>
            </w:r>
          </w:p>
        </w:tc>
      </w:tr>
      <w:tr w:rsidR="007E743A" w:rsidRPr="007E743A" w:rsidTr="001E1FB4">
        <w:trPr>
          <w:trHeight w:val="584"/>
        </w:trPr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Teo</w:t>
            </w:r>
            <w:proofErr w:type="spellEnd"/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, et al. [</w:t>
            </w:r>
            <w:hyperlink r:id="rId8" w:history="1">
              <w:r w:rsidRPr="007E743A">
                <w:rPr>
                  <w:rStyle w:val="Hyperlink"/>
                  <w:rFonts w:ascii="Times New Roman" w:hAnsi="Times New Roman"/>
                  <w:b/>
                  <w:color w:val="000000" w:themeColor="text1"/>
                  <w:sz w:val="20"/>
                  <w:szCs w:val="20"/>
                  <w:lang w:eastAsia="pt-BR"/>
                </w:rPr>
                <w:t>1</w:t>
              </w:r>
            </w:hyperlink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]</w:t>
            </w:r>
          </w:p>
        </w:tc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35% of hydrogen peroxide.</w:t>
            </w:r>
          </w:p>
        </w:tc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Coffee, tea, wine and cola based soft drinks.</w:t>
            </w:r>
          </w:p>
        </w:tc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All substances were able to stain the teeth.</w:t>
            </w:r>
          </w:p>
        </w:tc>
      </w:tr>
      <w:tr w:rsidR="007E743A" w:rsidRPr="007E743A" w:rsidTr="001E1FB4">
        <w:trPr>
          <w:trHeight w:val="584"/>
        </w:trPr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Caneppele</w:t>
            </w:r>
            <w:proofErr w:type="spellEnd"/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, et al. [</w:t>
            </w:r>
            <w:hyperlink r:id="rId9" w:history="1">
              <w:r w:rsidRPr="007E743A">
                <w:rPr>
                  <w:rStyle w:val="Hyperlink"/>
                  <w:rFonts w:ascii="Times New Roman" w:hAnsi="Times New Roman"/>
                  <w:b/>
                  <w:color w:val="000000" w:themeColor="text1"/>
                  <w:sz w:val="20"/>
                  <w:szCs w:val="20"/>
                  <w:lang w:eastAsia="pt-BR"/>
                </w:rPr>
                <w:t>11</w:t>
              </w:r>
            </w:hyperlink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]</w:t>
            </w:r>
          </w:p>
        </w:tc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16% of </w:t>
            </w:r>
            <w:proofErr w:type="spellStart"/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carbamide</w:t>
            </w:r>
            <w:proofErr w:type="spellEnd"/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 peroxide.</w:t>
            </w:r>
          </w:p>
        </w:tc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Coffee, wine and coke.</w:t>
            </w:r>
          </w:p>
        </w:tc>
        <w:tc>
          <w:tcPr>
            <w:tcW w:w="2400" w:type="dxa"/>
            <w:shd w:val="clear" w:color="auto" w:fill="8DE38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There was no influence.</w:t>
            </w:r>
          </w:p>
        </w:tc>
      </w:tr>
      <w:tr w:rsidR="007E743A" w:rsidRPr="007E743A" w:rsidTr="001E1FB4">
        <w:trPr>
          <w:trHeight w:val="584"/>
        </w:trPr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Magalhães</w:t>
            </w:r>
            <w:proofErr w:type="spellEnd"/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 xml:space="preserve"> [</w:t>
            </w:r>
            <w:hyperlink r:id="rId10" w:history="1">
              <w:r w:rsidRPr="007E743A">
                <w:rPr>
                  <w:rStyle w:val="Hyperlink"/>
                  <w:rFonts w:ascii="Times New Roman" w:hAnsi="Times New Roman"/>
                  <w:b/>
                  <w:color w:val="000000" w:themeColor="text1"/>
                  <w:sz w:val="20"/>
                  <w:szCs w:val="20"/>
                  <w:lang w:eastAsia="pt-BR"/>
                </w:rPr>
                <w:t>13</w:t>
              </w:r>
            </w:hyperlink>
            <w:r w:rsidRPr="007E743A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pt-BR"/>
              </w:rPr>
              <w:t>]</w:t>
            </w:r>
          </w:p>
        </w:tc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10% of </w:t>
            </w:r>
            <w:proofErr w:type="spellStart"/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carbamide</w:t>
            </w:r>
            <w:proofErr w:type="spellEnd"/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 peroxide.</w:t>
            </w:r>
          </w:p>
        </w:tc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proofErr w:type="spellStart"/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Açai</w:t>
            </w:r>
            <w:proofErr w:type="spellEnd"/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 xml:space="preserve"> extract and coffee.</w:t>
            </w:r>
          </w:p>
        </w:tc>
        <w:tc>
          <w:tcPr>
            <w:tcW w:w="2400" w:type="dxa"/>
            <w:shd w:val="clear" w:color="auto" w:fill="FF6D6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39F3" w:rsidRPr="007E743A" w:rsidRDefault="003539F3" w:rsidP="001E1FB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</w:pPr>
            <w:r w:rsidRPr="007E743A">
              <w:rPr>
                <w:rFonts w:ascii="Times New Roman" w:hAnsi="Times New Roman"/>
                <w:color w:val="000000" w:themeColor="text1"/>
                <w:sz w:val="20"/>
                <w:szCs w:val="20"/>
                <w:lang w:eastAsia="pt-BR"/>
              </w:rPr>
              <w:t>Teeth undergone to bleaching and immediately exposed to these food coloring have a greater potential for staining.</w:t>
            </w:r>
          </w:p>
        </w:tc>
      </w:tr>
    </w:tbl>
    <w:p w:rsidR="003539F3" w:rsidRPr="007E743A" w:rsidRDefault="003539F3">
      <w:pPr>
        <w:rPr>
          <w:color w:val="000000" w:themeColor="text1"/>
        </w:rPr>
      </w:pPr>
    </w:p>
    <w:p w:rsidR="003539F3" w:rsidRPr="007E743A" w:rsidRDefault="007E743A" w:rsidP="003539F3">
      <w:pPr>
        <w:spacing w:after="0" w:line="240" w:lineRule="auto"/>
        <w:ind w:right="-376"/>
        <w:rPr>
          <w:rFonts w:ascii="Times New Roman" w:hAnsi="Times New Roman"/>
          <w:color w:val="000000" w:themeColor="text1"/>
          <w:sz w:val="20"/>
          <w:szCs w:val="20"/>
          <w:lang w:eastAsia="pt-BR"/>
        </w:rPr>
      </w:pPr>
      <w:r w:rsidRPr="007E743A">
        <w:rPr>
          <w:rFonts w:ascii="Times New Roman" w:hAnsi="Times New Roman"/>
          <w:bCs/>
          <w:noProof/>
          <w:color w:val="000000" w:themeColor="text1"/>
          <w:sz w:val="20"/>
          <w:szCs w:val="20"/>
        </w:rPr>
        <w:pict>
          <v:rect id="Retângulo 704" o:spid="_x0000_s1028" style="position:absolute;margin-left:-13.3pt;margin-top:10.25pt;width:14.2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" fillcolor="#c0504d" strokecolor="#f2f2f2" strokeweight="3pt">
            <v:shadow on="t" color="#622423" opacity=".5" offset="1pt"/>
          </v:rect>
        </w:pict>
      </w:r>
    </w:p>
    <w:p w:rsidR="003539F3" w:rsidRPr="007E743A" w:rsidRDefault="003539F3" w:rsidP="003539F3">
      <w:pPr>
        <w:spacing w:after="0" w:line="360" w:lineRule="auto"/>
        <w:ind w:right="-376"/>
        <w:rPr>
          <w:rFonts w:ascii="Times New Roman" w:hAnsi="Times New Roman"/>
          <w:bCs/>
          <w:color w:val="000000" w:themeColor="text1"/>
          <w:sz w:val="20"/>
          <w:szCs w:val="20"/>
          <w:lang w:eastAsia="pt-BR"/>
        </w:rPr>
      </w:pPr>
      <w:r w:rsidRPr="007E743A">
        <w:rPr>
          <w:rFonts w:ascii="Times New Roman" w:hAnsi="Times New Roman"/>
          <w:bCs/>
          <w:color w:val="000000" w:themeColor="text1"/>
          <w:sz w:val="20"/>
          <w:szCs w:val="20"/>
          <w:lang w:eastAsia="pt-BR"/>
        </w:rPr>
        <w:t xml:space="preserve"> Authors who are in favor of restriction of coloring food.</w:t>
      </w:r>
    </w:p>
    <w:p w:rsidR="003539F3" w:rsidRPr="007E743A" w:rsidRDefault="007E743A" w:rsidP="003539F3">
      <w:pPr>
        <w:spacing w:after="0" w:line="360" w:lineRule="auto"/>
        <w:ind w:right="-376"/>
        <w:rPr>
          <w:rFonts w:ascii="Times New Roman" w:hAnsi="Times New Roman"/>
          <w:bCs/>
          <w:color w:val="000000" w:themeColor="text1"/>
          <w:sz w:val="20"/>
          <w:szCs w:val="20"/>
          <w:lang w:eastAsia="pt-BR"/>
        </w:rPr>
      </w:pPr>
      <w:r w:rsidRPr="007E743A">
        <w:rPr>
          <w:rFonts w:ascii="Times New Roman" w:hAnsi="Times New Roman"/>
          <w:bCs/>
          <w:noProof/>
          <w:color w:val="000000" w:themeColor="text1"/>
          <w:sz w:val="20"/>
          <w:szCs w:val="20"/>
          <w:lang w:val="pt-BR" w:eastAsia="pt-BR"/>
        </w:rPr>
        <w:pict>
          <v:rect id="Retângulo 705" o:spid="_x0000_s1027" style="position:absolute;margin-left:-13.3pt;margin-top:1.85pt;width:14.2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" fillcolor="#9bbb59" strokecolor="#f2f2f2" strokeweight="3pt">
            <v:shadow on="t" color="#4e6128" opacity=".5" offset="1pt"/>
          </v:rect>
        </w:pict>
      </w:r>
      <w:r w:rsidR="003539F3" w:rsidRPr="007E743A">
        <w:rPr>
          <w:rFonts w:ascii="Times New Roman" w:hAnsi="Times New Roman"/>
          <w:bCs/>
          <w:color w:val="000000" w:themeColor="text1"/>
          <w:sz w:val="20"/>
          <w:szCs w:val="20"/>
          <w:lang w:eastAsia="pt-BR"/>
        </w:rPr>
        <w:t xml:space="preserve"> Authors who believe there is no need for food restriction.</w:t>
      </w:r>
    </w:p>
    <w:p w:rsidR="003539F3" w:rsidRPr="007E743A" w:rsidRDefault="003539F3">
      <w:pPr>
        <w:rPr>
          <w:color w:val="000000" w:themeColor="text1"/>
        </w:rPr>
      </w:pPr>
    </w:p>
    <w:sectPr w:rsidR="003539F3" w:rsidRPr="007E743A" w:rsidSect="00856C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39F3"/>
    <w:rsid w:val="00246621"/>
    <w:rsid w:val="003539F3"/>
    <w:rsid w:val="007E743A"/>
    <w:rsid w:val="0085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E013017"/>
  <w15:docId w15:val="{AFC176B3-1468-48A0-9F89-5CBE4E2A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9F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iville.edu.br/community/depto_odontologia/VirtualDisk.html/downloadDirect/1955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de2.uepg.br/jspui/handle/prefix/178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2357029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nografias.ufrn.br/jspui/bitstream/123456789/1461/1/%5B2015%5D%20INFLUENCIA%20DA%20FREQ%C3%9C%C3%8ANCIA%20DE%20INGEST%C3%83O%20DE%20CAF%C3%89%20NA%20COR%20DOS%20DENTES%20DURANTE%20O%20CLAREAMENTO%20COM%20PER%C3%93XIDO%20DE%20HIDROG%C3%8ANIO%20A" TargetMode="External"/><Relationship Id="rId10" Type="http://schemas.openxmlformats.org/officeDocument/2006/relationships/hyperlink" Target="https://repositorio.unesp.br/handle/11449/89619" TargetMode="External"/><Relationship Id="rId4" Type="http://schemas.openxmlformats.org/officeDocument/2006/relationships/hyperlink" Target="https://repositorio.ufsc.br/handle/123456789/181312" TargetMode="External"/><Relationship Id="rId9" Type="http://schemas.openxmlformats.org/officeDocument/2006/relationships/hyperlink" Target="https://periodicos.ufmg.br/index.php/arquivosemodontologia/article/view/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1894</Characters>
  <Application>Microsoft Office Word</Application>
  <DocSecurity>0</DocSecurity>
  <Lines>15</Lines>
  <Paragraphs>4</Paragraphs>
  <ScaleCrop>false</ScaleCrop>
  <Company>HP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Dell</cp:lastModifiedBy>
  <cp:revision>3</cp:revision>
  <dcterms:created xsi:type="dcterms:W3CDTF">2019-11-16T10:59:00Z</dcterms:created>
  <dcterms:modified xsi:type="dcterms:W3CDTF">2019-11-16T13:04:00Z</dcterms:modified>
</cp:coreProperties>
</file>